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AC" w:rsidRDefault="00954BAC" w:rsidP="00954BAC">
      <w:pPr>
        <w:spacing w:after="0" w:line="240" w:lineRule="auto"/>
        <w:rPr>
          <w:sz w:val="28"/>
          <w:szCs w:val="28"/>
        </w:rPr>
      </w:pPr>
    </w:p>
    <w:p w:rsidR="00EB54D0" w:rsidRPr="00EB54D0" w:rsidRDefault="00EB54D0" w:rsidP="00954BAC">
      <w:pPr>
        <w:spacing w:after="0" w:line="240" w:lineRule="auto"/>
        <w:rPr>
          <w:rFonts w:ascii="Times New Roman" w:hAnsi="Times New Roman" w:cs="Times New Roman"/>
          <w:b/>
        </w:rPr>
      </w:pPr>
      <w:r w:rsidRPr="00EB54D0">
        <w:rPr>
          <w:rFonts w:ascii="Times New Roman" w:hAnsi="Times New Roman" w:cs="Times New Roman"/>
          <w:b/>
        </w:rPr>
        <w:t xml:space="preserve">Приложение </w:t>
      </w:r>
    </w:p>
    <w:p w:rsidR="00954BAC" w:rsidRPr="00EB54D0" w:rsidRDefault="00EB54D0" w:rsidP="00954BAC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</w:rPr>
      </w:pPr>
      <w:r w:rsidRPr="00EB54D0">
        <w:rPr>
          <w:rFonts w:ascii="Times New Roman" w:hAnsi="Times New Roman" w:cs="Times New Roman"/>
          <w:b/>
        </w:rPr>
        <w:t xml:space="preserve">к постановлению администрации                                                                                                                                               </w:t>
      </w:r>
    </w:p>
    <w:p w:rsidR="00EB54D0" w:rsidRPr="00EB54D0" w:rsidRDefault="00954BAC" w:rsidP="007D0A4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8E2AA0">
        <w:rPr>
          <w:rFonts w:ascii="Times New Roman" w:hAnsi="Times New Roman" w:cs="Times New Roman"/>
          <w:b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» </w:t>
      </w:r>
      <w:r w:rsidR="008E2AA0">
        <w:rPr>
          <w:rFonts w:ascii="Times New Roman" w:hAnsi="Times New Roman" w:cs="Times New Roman"/>
          <w:b/>
        </w:rPr>
        <w:t>февраля</w:t>
      </w:r>
      <w:r>
        <w:rPr>
          <w:rFonts w:ascii="Times New Roman" w:hAnsi="Times New Roman" w:cs="Times New Roman"/>
          <w:b/>
        </w:rPr>
        <w:t>2017</w:t>
      </w:r>
      <w:r w:rsidR="00EB54D0" w:rsidRPr="00EB54D0">
        <w:rPr>
          <w:rFonts w:ascii="Times New Roman" w:hAnsi="Times New Roman" w:cs="Times New Roman"/>
          <w:b/>
        </w:rPr>
        <w:t xml:space="preserve"> года № _</w:t>
      </w:r>
      <w:r w:rsidR="008E2AA0">
        <w:rPr>
          <w:rFonts w:ascii="Times New Roman" w:hAnsi="Times New Roman" w:cs="Times New Roman"/>
          <w:b/>
        </w:rPr>
        <w:t>3</w:t>
      </w:r>
      <w:r w:rsidR="00EB54D0" w:rsidRPr="00EB54D0">
        <w:rPr>
          <w:rFonts w:ascii="Times New Roman" w:hAnsi="Times New Roman" w:cs="Times New Roman"/>
          <w:b/>
        </w:rPr>
        <w:t>____</w:t>
      </w:r>
    </w:p>
    <w:p w:rsidR="00EB54D0" w:rsidRDefault="00EB54D0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54D0" w:rsidRDefault="00932156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EB54D0" w:rsidRDefault="00932156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ИСПОЛЬЗОВАНИЯ БЮДЖЕТНЫХ АССИГНОВАНИЙ </w:t>
      </w:r>
    </w:p>
    <w:p w:rsidR="00932156" w:rsidRDefault="00932156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РЕЗЕРВНОГО ФОНДА АДМИНИСТРАЦИИ </w:t>
      </w:r>
      <w:r w:rsidR="005E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7F3828" w:rsidRPr="00EB54D0" w:rsidRDefault="007F3828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«ДЕРЕВНЯ БЕЛЯЕВО»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разработан в соответствии с Бюджетным кодексом Российской Федерации и определяет цели, механизм и условия предоставления и использования бюджетных ассигнований Резервного фонда администрации муниципального 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сельское поселение</w:t>
      </w:r>
      <w:proofErr w:type="gramStart"/>
      <w:r w:rsidR="00C320C9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еревня Беляево</w:t>
      </w:r>
      <w:r w:rsidR="00C320C9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непредвиденные расходы (далее - Резервный фонд), регламентирует осуществление контроля за использованием указанных средств и отчетность об их использовании.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886910" w:rsidRDefault="00932156" w:rsidP="00886910">
      <w:pPr>
        <w:pStyle w:val="a8"/>
        <w:numPr>
          <w:ilvl w:val="0"/>
          <w:numId w:val="1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предоставления и использования средств Резервного фонда</w:t>
      </w:r>
    </w:p>
    <w:p w:rsidR="00886910" w:rsidRPr="00886910" w:rsidRDefault="00886910" w:rsidP="00886910">
      <w:pPr>
        <w:pStyle w:val="a8"/>
        <w:shd w:val="clear" w:color="auto" w:fill="FFFFFF"/>
        <w:spacing w:after="0" w:line="330" w:lineRule="atLeast"/>
        <w:ind w:left="35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Средства Резервного фонда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администрации  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«Деревня Беляево»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 части    финансирования   непредвиденных   расходов   предоставляются  на   безвозвратной  и  безвозмездной  основе  в  пределах   размера   Резервного   фонда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утвержденного   Решением   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соответствующий   финансовый   год»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(финансовый  год  и  плановый период)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могут  использоваться  </w:t>
      </w:r>
      <w:proofErr w:type="gramStart"/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0412FC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726F" w:rsidRPr="00EB54D0" w:rsidRDefault="0066726F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проведение    аварийно- спасательных   работ   в  зонах   чрезвычайных   ситуаций  и  стихийных  бедствий;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 неотложных  аварийно-восстановительных   работ  на  объектах   жилищно-коммунального  хозяйства,  социальной  сферы,   промышленности,  энергетики,  транспорта  и  связи,  пострадавших  в  результате  чрезвычайной   ситуации  или  стихийного  бедствия;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  единовременной   материальной   помощи  гражданам,  пострадавшим  от  пожаров  и  иных чрезвычайных   ситуаций  и  стихийных  бедствий;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 расходов,  связанных  с  привлечением  в  установленном  порядке  сил  и  средств   организаций,  привлекаемых   для  проведения  экстренных   мероприятий  по  ликвидации   последствий  чрезвычайных  ситуаций  и  стихийных  бедствий;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финансирование   иных  непредвиденных  расходов.</w:t>
      </w:r>
    </w:p>
    <w:p w:rsidR="003F350C" w:rsidRPr="00EB54D0" w:rsidRDefault="003F350C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  Резервного  фонда   выделяются  по   обращениям   органов  местного   самоуправления   муниципальных  образований,  расположенных  на  территории  муниципального  района,  при  недостаточности  средств  резервных   фондов   местных  администраций,  по  ход</w:t>
      </w:r>
      <w:r w:rsidR="000E12F4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тайствам  (обращениям)   руководителей    муниципальных  унитарных  предприятий,   учреждений   муниципального  района,  заявлениям  граждан  муниципального  района.</w:t>
      </w:r>
    </w:p>
    <w:p w:rsidR="00F22C82" w:rsidRPr="00EB54D0" w:rsidRDefault="00F22C82" w:rsidP="00B66E94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Выделение  средств  из  резервного   фонда  на  финансирование иных   непредвиденных   расходов   производится  в  случаях,  когда  средств,  находящихся  в  распоряжении  структурных   подразделений    администрации   муниципального  района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  (или)  органов   местного    самоуправления   муниципального  района,  осуществляющих   указанные  расходы,  недостаточно.</w:t>
      </w:r>
    </w:p>
    <w:p w:rsidR="00B66E94" w:rsidRPr="005170A4" w:rsidRDefault="00B66E94" w:rsidP="00B66E94">
      <w:pPr>
        <w:pStyle w:val="ConsPlusNormal"/>
        <w:ind w:left="-70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0A4">
        <w:rPr>
          <w:rFonts w:ascii="Times New Roman" w:hAnsi="Times New Roman" w:cs="Times New Roman"/>
          <w:sz w:val="26"/>
          <w:szCs w:val="26"/>
        </w:rPr>
        <w:t>При недостаточности собственных сил и средств орган местного самоуправления обращается за помощью в Правительство Калужской области.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2.Порядок предоставления и использования средств Резервного фонда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Средства Резервного фонда предоставляются при условии, что средства, необходимые на осуществление соответствующих расходов, не предусмотрены  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 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МО СП «Деревня Беляево»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 (финансовый год и плановый период)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 при  недостаточности   указанных   средств  в  расходной   части  бюджета МО  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«Деревня Беляево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 соответствующий  финансовый  год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(финансовый год и плановый период).</w:t>
      </w:r>
      <w:proofErr w:type="gramEnd"/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Основанием для предоставления средств Резервного фонда является правовой акт администрации  муниципального 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сельское поселение «Деревня Беляево»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предусматривающий предоставление средств Резервного фонда (далее - Правовой акт), с указанием получателя средств, размера предоставляемых средств, цели осуществления расходов и источника предоставления средств - Резервного фонда</w:t>
      </w:r>
      <w:r w:rsidR="00A92DF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Основанием для подготовки проекта Правового акта является </w:t>
      </w:r>
      <w:r w:rsidR="00D7401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 обращение   лица,  заинтересованного   в  получении   средств   из  резервного  фонда  администрации  МР  «Юхновский  район»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направленного на имя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муниципального района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район».</w:t>
      </w:r>
    </w:p>
    <w:p w:rsidR="00184111" w:rsidRPr="00184111" w:rsidRDefault="00184111" w:rsidP="00184111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111">
        <w:rPr>
          <w:rFonts w:ascii="Times New Roman" w:hAnsi="Times New Roman" w:cs="Times New Roman"/>
          <w:sz w:val="26"/>
          <w:szCs w:val="26"/>
        </w:rPr>
        <w:t>К обращению прилагаются следующие документы: 1. Акт о пожаре; 2. Постановление об отказе в возбуждении уголовного дела по факту пожара; 3. Справка о регистрации и составе семьи пострадавших граждан; 4. Выписка из домовой книги; 5. Ксерокопия паспортов, свидетельств о рождении граждан, проживавших в сгоревшем здании; 6. Счет в кредитной организации, открытый на имя пострадавших граждан; 7. Заявление пострадавших граждан об оказании материальной помощи на имя Главы администрации; 8. Согласие заявителя на обработку персональных данных.</w:t>
      </w:r>
    </w:p>
    <w:p w:rsidR="00932156" w:rsidRDefault="00932156" w:rsidP="00285420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заключение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 финансов и  бюджета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муниципального района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«Юхновский  район»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</w:t>
      </w:r>
      <w:r w:rsidR="002854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статке средств Резервного фонда.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указанному обращению могут прилагаться также иные документы, подтверждающие необходимость и неотложность осуществления расходов на соответствующие цели.</w:t>
      </w:r>
    </w:p>
    <w:p w:rsidR="0082027F" w:rsidRPr="00EB54D0" w:rsidRDefault="0082027F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</w:t>
      </w:r>
      <w:r w:rsidR="000E12F4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тайство  (обращение)   о  выделении  денежных  средств   из  Резервного  фонда   представляется   в   администрацию  МР  «Юхновский  район»   не  позднее  </w:t>
      </w:r>
      <w:r w:rsidR="00A92DF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 месяца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 момента   возникновения   чрезвычайной  ситуации.</w:t>
      </w:r>
    </w:p>
    <w:p w:rsidR="004C31AA" w:rsidRDefault="004C31AA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31AA" w:rsidRDefault="004C31AA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27F" w:rsidRPr="00EB54D0" w:rsidRDefault="00A92DFA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Обращении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выделении   средств  из  Резервного  фонда,  в  котором  отсутствуют  указанные  документы,  возвращаются  без  рассмотрения.</w:t>
      </w:r>
    </w:p>
    <w:p w:rsidR="0082027F" w:rsidRPr="00EB54D0" w:rsidRDefault="0082027F" w:rsidP="002F1D65">
      <w:pPr>
        <w:shd w:val="clear" w:color="auto" w:fill="FFFFFF"/>
        <w:spacing w:after="0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Комиссия   по  чрезвычайным   ситуациям  администрации  МР  «Юхновский  район»   рассматривает  в   </w:t>
      </w:r>
      <w:r w:rsidR="00A92DF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десятидневный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   обращение  о  выделении   денежных  средств  из  резервного  фонда</w:t>
      </w:r>
      <w:r w:rsidR="000412FC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027F" w:rsidRDefault="0082027F" w:rsidP="002F1D65">
      <w:pPr>
        <w:shd w:val="clear" w:color="auto" w:fill="FFFFFF"/>
        <w:spacing w:after="0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результатам  рассмотрения  обосновывающих  документов  Комиссия</w:t>
      </w:r>
      <w:r w:rsidR="00CE1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вносит  Главе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района  соответствующие   предложения  о  выделении  денежных  ср</w:t>
      </w:r>
      <w:r w:rsidR="000E12F4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дств.</w:t>
      </w:r>
    </w:p>
    <w:p w:rsidR="002F1D65" w:rsidRPr="002F1D65" w:rsidRDefault="002F1D65" w:rsidP="002F1D65">
      <w:pPr>
        <w:pStyle w:val="ConsPlusNormal"/>
        <w:spacing w:line="276" w:lineRule="auto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65">
        <w:rPr>
          <w:rFonts w:ascii="Times New Roman" w:hAnsi="Times New Roman" w:cs="Times New Roman"/>
          <w:sz w:val="26"/>
          <w:szCs w:val="26"/>
        </w:rPr>
        <w:t>Средства резервного фонда МО «Юхновский район» по предупреждению и ликвидации чрезвычайных ситуаций и последствий стихийных бедствий выделяются</w:t>
      </w:r>
      <w:r w:rsidR="00CE12E2">
        <w:rPr>
          <w:rFonts w:ascii="Times New Roman" w:hAnsi="Times New Roman" w:cs="Times New Roman"/>
          <w:sz w:val="26"/>
          <w:szCs w:val="26"/>
        </w:rPr>
        <w:t xml:space="preserve"> из бюджета МО МР «Юхновский район</w:t>
      </w:r>
      <w:r w:rsidR="00184111">
        <w:rPr>
          <w:rFonts w:ascii="Times New Roman" w:hAnsi="Times New Roman" w:cs="Times New Roman"/>
          <w:sz w:val="26"/>
          <w:szCs w:val="26"/>
        </w:rPr>
        <w:t>»</w:t>
      </w:r>
      <w:r w:rsidRPr="002F1D65">
        <w:rPr>
          <w:rFonts w:ascii="Times New Roman" w:hAnsi="Times New Roman" w:cs="Times New Roman"/>
          <w:sz w:val="26"/>
          <w:szCs w:val="26"/>
        </w:rPr>
        <w:t>:</w:t>
      </w:r>
    </w:p>
    <w:p w:rsidR="002F1D65" w:rsidRPr="002F1D65" w:rsidRDefault="002F1D65" w:rsidP="002F1D65">
      <w:pPr>
        <w:spacing w:after="0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65">
        <w:rPr>
          <w:rFonts w:ascii="Times New Roman" w:hAnsi="Times New Roman" w:cs="Times New Roman"/>
          <w:sz w:val="26"/>
          <w:szCs w:val="26"/>
        </w:rPr>
        <w:t xml:space="preserve">- на оказание единовременной материальной помощи гражданам, пострадавшим в чрезвычайной ситуации, из расчета не более </w:t>
      </w:r>
      <w:r w:rsidR="00CE12E2">
        <w:rPr>
          <w:rFonts w:ascii="Times New Roman" w:hAnsi="Times New Roman" w:cs="Times New Roman"/>
          <w:sz w:val="26"/>
          <w:szCs w:val="26"/>
        </w:rPr>
        <w:t>3,0</w:t>
      </w:r>
      <w:r w:rsidRPr="002F1D65">
        <w:rPr>
          <w:rFonts w:ascii="Times New Roman" w:hAnsi="Times New Roman" w:cs="Times New Roman"/>
          <w:sz w:val="26"/>
          <w:szCs w:val="26"/>
        </w:rPr>
        <w:t xml:space="preserve"> тыс</w:t>
      </w:r>
      <w:r w:rsidR="00CE12E2">
        <w:rPr>
          <w:rFonts w:ascii="Times New Roman" w:hAnsi="Times New Roman" w:cs="Times New Roman"/>
          <w:sz w:val="26"/>
          <w:szCs w:val="26"/>
        </w:rPr>
        <w:t>яч</w:t>
      </w:r>
      <w:r w:rsidRPr="002F1D65">
        <w:rPr>
          <w:rFonts w:ascii="Times New Roman" w:hAnsi="Times New Roman" w:cs="Times New Roman"/>
          <w:sz w:val="26"/>
          <w:szCs w:val="26"/>
        </w:rPr>
        <w:t xml:space="preserve"> рублей на семью (одиноко проживающего гражданина).</w:t>
      </w:r>
    </w:p>
    <w:p w:rsidR="002F1D65" w:rsidRPr="002F1D65" w:rsidRDefault="002F1D65" w:rsidP="002F1D65">
      <w:pPr>
        <w:pStyle w:val="ConsPlusNormal"/>
        <w:spacing w:line="276" w:lineRule="auto"/>
        <w:ind w:left="-709" w:firstLine="540"/>
        <w:jc w:val="both"/>
        <w:rPr>
          <w:rFonts w:ascii="Times New Roman" w:hAnsi="Times New Roman" w:cs="Times New Roman"/>
        </w:rPr>
      </w:pPr>
      <w:proofErr w:type="gramStart"/>
      <w:r w:rsidRPr="002F1D65">
        <w:rPr>
          <w:rFonts w:ascii="Times New Roman" w:hAnsi="Times New Roman" w:cs="Times New Roman"/>
          <w:sz w:val="26"/>
          <w:szCs w:val="26"/>
        </w:rPr>
        <w:t xml:space="preserve">Единовременная материальная помощь оказывается лицам, постоянно проживающим на территории МО </w:t>
      </w:r>
      <w:r w:rsidR="00886910">
        <w:rPr>
          <w:rFonts w:ascii="Times New Roman" w:hAnsi="Times New Roman" w:cs="Times New Roman"/>
          <w:sz w:val="26"/>
          <w:szCs w:val="26"/>
        </w:rPr>
        <w:t>СП «Деревня Беляево»</w:t>
      </w:r>
      <w:r w:rsidRPr="002F1D65">
        <w:rPr>
          <w:rFonts w:ascii="Times New Roman" w:hAnsi="Times New Roman" w:cs="Times New Roman"/>
          <w:sz w:val="26"/>
          <w:szCs w:val="26"/>
        </w:rPr>
        <w:t xml:space="preserve">  на день принятия решения о выделении ср</w:t>
      </w:r>
      <w:r w:rsidR="00184111">
        <w:rPr>
          <w:rFonts w:ascii="Times New Roman" w:hAnsi="Times New Roman" w:cs="Times New Roman"/>
          <w:sz w:val="26"/>
          <w:szCs w:val="26"/>
        </w:rPr>
        <w:t>едств на 1 домовладение (семью</w:t>
      </w:r>
      <w:r w:rsidRPr="002F1D65">
        <w:rPr>
          <w:rFonts w:ascii="Times New Roman" w:hAnsi="Times New Roman" w:cs="Times New Roman"/>
          <w:sz w:val="26"/>
          <w:szCs w:val="26"/>
        </w:rPr>
        <w:t>), в котором зарегистрирован пострадавший, и не распространяется на лиц, пострадавших в чрезвычайных ситуациях и от последствий стихийных бедствий, в пожарах, имеющих в собственности дачи, садовые домики, надворные постройки и имеющих жилье на праве собственности, в которых</w:t>
      </w:r>
      <w:proofErr w:type="gramEnd"/>
      <w:r w:rsidRPr="002F1D65">
        <w:rPr>
          <w:rFonts w:ascii="Times New Roman" w:hAnsi="Times New Roman" w:cs="Times New Roman"/>
          <w:sz w:val="26"/>
          <w:szCs w:val="26"/>
        </w:rPr>
        <w:t xml:space="preserve"> они не зарегистрированы.</w:t>
      </w:r>
    </w:p>
    <w:p w:rsidR="00932156" w:rsidRPr="00EB54D0" w:rsidRDefault="00932156" w:rsidP="002F1D65">
      <w:pPr>
        <w:shd w:val="clear" w:color="auto" w:fill="FFFFFF"/>
        <w:spacing w:after="0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поручением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«Юхновский   район»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проекта Правового акта должностные лица, замещающие должности муниципальной службы в администрации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 (начальник    отдела  ГО и ЧС  администрации  МР  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руководители муниципальных учреждений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 подготовку проекта Правового акта, его согласование и визирование.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подготовке проекта Правового акта указанные должностные лица и руководители вправе запрашивать и получать документы и информацию, предусмотренные настоящим Порядком, которые необходимы для решения вопроса о предоставлении средств Резервного фонда.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Правовой акт является основанием для внесения соответствующих изменений в сводную бюджетную роспись бюджета 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 муниципального района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«Юхновский  район».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Правовой акт является основанием для возникновения расходных обязательств 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подлежащих исполнению после внесения соответствующих изменений в реестр расходных обязательств 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Средства Резервного фонда, предоставленные в соответствии с Правовым актом, подлежат использованию в течение финансового года, в котором они были предназначены для исполнения расходных обязательств.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Правовые акты о предоставлении денежных средств Резервного фонда принимаются в течение финансового года, для использования в котором предусмотрен данный Резервный фонд.</w:t>
      </w:r>
    </w:p>
    <w:p w:rsidR="007D0C17" w:rsidRPr="00EB54D0" w:rsidRDefault="007D0C17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Управление средствами Резервного фонда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Управление средствами Резервного фонда осуществляется на основании настоящего Порядка</w:t>
      </w:r>
      <w:r w:rsidR="002F1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редствами Резервного фонда распоряжается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«Юхновский 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 финансов и  бюджета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«Юхновский   район»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учет расходования средств Резервного фонда, осуществляет санкционирование оплаты денежных обязательств.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3BDE" w:rsidRPr="00EB54D0" w:rsidRDefault="00932156" w:rsidP="007D0A43">
      <w:pPr>
        <w:shd w:val="clear" w:color="auto" w:fill="FFFFFF"/>
        <w:spacing w:after="0" w:line="330" w:lineRule="atLeast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proofErr w:type="gramStart"/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использованием средств Резервного фонда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отчетность об их использовании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использованием средств, предоставленных из Резервного фонда, осуществляется должностным лицом, замещающим муниципальную должность муниципального района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указанным в Правовом акте, и 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 финансов  и  бюджета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Должностные лица, направившие 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A355C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обращение, содержащее просьбу о предоставлении средств Резервного фонда, и (или) представившие на рассмотрение </w:t>
      </w:r>
      <w:r w:rsidR="00A355C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A355C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Правового акта, несут ответственность за законность и обоснованность представленных документов.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олучатели средств Резервного фонда несут ответственность за достоверность документов, представляемых ими в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санкционирования оплаты денежных обязательств и за нецелевое использование средств Резервного фонда в соответствии с действующим законодательством Российской Федерации.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83BDE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Выделенные из Резервного фонда средства отражаются в бюджетной отчетности согласно бюджетной классификации Российской Федерации.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6493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252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олучатели средств Резервного фонда представляют в </w:t>
      </w:r>
      <w:r w:rsidR="009C252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финансов  и  бюджета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9C252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использовании средств, выделенных из Резервного фонда в соответствии с приложением N 1 к настоящему Порядку.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6493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Сводный отчет об использовании средств Резервного фонда прилагается к годовому отчету об исполнении бюджета  </w:t>
      </w:r>
    </w:p>
    <w:p w:rsidR="00932156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A43" w:rsidRDefault="007D0A43" w:rsidP="004B25C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5CB" w:rsidRPr="00EB54D0" w:rsidRDefault="004B25CB" w:rsidP="004B25C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FC76F3"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использования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ассигнований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Резервного фонда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 муниципального района </w:t>
      </w:r>
    </w:p>
    <w:p w:rsidR="00932156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непредвиденные расходы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229" w:rsidRPr="00EB54D0" w:rsidRDefault="00C54229" w:rsidP="007D0A43">
      <w:pPr>
        <w:pStyle w:val="ConsPlusNormal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54D0">
        <w:rPr>
          <w:rFonts w:ascii="Times New Roman" w:hAnsi="Times New Roman" w:cs="Times New Roman"/>
          <w:sz w:val="26"/>
          <w:szCs w:val="26"/>
        </w:rPr>
        <w:t>Отчет об использовании средств, выделенных из Резервного фонда администрации по состоянию на  «____»____________20___года</w:t>
      </w:r>
      <w:r w:rsidR="00FC76F3">
        <w:rPr>
          <w:rFonts w:ascii="Times New Roman" w:hAnsi="Times New Roman" w:cs="Times New Roman"/>
          <w:sz w:val="26"/>
          <w:szCs w:val="26"/>
        </w:rPr>
        <w:t>.</w:t>
      </w:r>
    </w:p>
    <w:p w:rsidR="00C54229" w:rsidRPr="00EB54D0" w:rsidRDefault="00C54229" w:rsidP="007D0A43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647" w:type="dxa"/>
        <w:jc w:val="center"/>
        <w:tblLayout w:type="fixed"/>
        <w:tblLook w:val="04A0"/>
      </w:tblPr>
      <w:tblGrid>
        <w:gridCol w:w="567"/>
        <w:gridCol w:w="1213"/>
        <w:gridCol w:w="1286"/>
        <w:gridCol w:w="992"/>
        <w:gridCol w:w="709"/>
        <w:gridCol w:w="973"/>
        <w:gridCol w:w="1002"/>
        <w:gridCol w:w="850"/>
        <w:gridCol w:w="1418"/>
        <w:gridCol w:w="1637"/>
      </w:tblGrid>
      <w:tr w:rsidR="00EB54D0" w:rsidRPr="00EB54D0" w:rsidTr="00502C4B">
        <w:trPr>
          <w:trHeight w:val="859"/>
          <w:jc w:val="center"/>
        </w:trPr>
        <w:tc>
          <w:tcPr>
            <w:tcW w:w="567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2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13" w:type="dxa"/>
            <w:vMerge w:val="restart"/>
          </w:tcPr>
          <w:p w:rsid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Номер, </w:t>
            </w:r>
          </w:p>
          <w:p w:rsidR="00C54229" w:rsidRP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дата право-</w:t>
            </w:r>
          </w:p>
          <w:p w:rsid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 акта</w:t>
            </w:r>
          </w:p>
          <w:p w:rsidR="00C54229" w:rsidRP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 о выделении средств</w:t>
            </w:r>
          </w:p>
        </w:tc>
        <w:tc>
          <w:tcPr>
            <w:tcW w:w="1286" w:type="dxa"/>
            <w:vMerge w:val="restart"/>
          </w:tcPr>
          <w:p w:rsidR="00502C4B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Краткое </w:t>
            </w:r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proofErr w:type="spellEnd"/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жание право</w:t>
            </w:r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2674" w:type="dxa"/>
            <w:gridSpan w:val="3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расходования средств</w:t>
            </w:r>
          </w:p>
        </w:tc>
        <w:tc>
          <w:tcPr>
            <w:tcW w:w="1002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выделен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850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освое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418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Дата, номер ПП</w:t>
            </w:r>
          </w:p>
        </w:tc>
        <w:tc>
          <w:tcPr>
            <w:tcW w:w="1637" w:type="dxa"/>
            <w:vMerge w:val="restart"/>
          </w:tcPr>
          <w:p w:rsidR="00C54229" w:rsidRPr="00880A29" w:rsidRDefault="00C54229" w:rsidP="00880A29">
            <w:pPr>
              <w:pStyle w:val="ConsPlusNormal"/>
              <w:tabs>
                <w:tab w:val="left" w:pos="209"/>
              </w:tabs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Остаток неисполь</w:t>
            </w:r>
          </w:p>
          <w:p w:rsidR="00C54229" w:rsidRPr="00880A29" w:rsidRDefault="00C54229" w:rsidP="00880A29">
            <w:pPr>
              <w:pStyle w:val="ConsPlusNormal"/>
              <w:tabs>
                <w:tab w:val="left" w:pos="209"/>
              </w:tabs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зованных средств</w:t>
            </w:r>
          </w:p>
        </w:tc>
      </w:tr>
      <w:tr w:rsidR="00EB54D0" w:rsidRPr="00EB54D0" w:rsidTr="00502C4B">
        <w:trPr>
          <w:jc w:val="center"/>
        </w:trPr>
        <w:tc>
          <w:tcPr>
            <w:tcW w:w="567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709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973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002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D0" w:rsidRPr="00EB54D0" w:rsidTr="00502C4B">
        <w:trPr>
          <w:jc w:val="center"/>
        </w:trPr>
        <w:tc>
          <w:tcPr>
            <w:tcW w:w="56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B54D0" w:rsidRPr="00EB54D0" w:rsidTr="00502C4B">
        <w:trPr>
          <w:jc w:val="center"/>
        </w:trPr>
        <w:tc>
          <w:tcPr>
            <w:tcW w:w="56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F3" w:rsidRPr="00EB54D0" w:rsidTr="00502C4B">
        <w:trPr>
          <w:jc w:val="center"/>
        </w:trPr>
        <w:tc>
          <w:tcPr>
            <w:tcW w:w="567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229" w:rsidRPr="00EB54D0" w:rsidRDefault="00C54229" w:rsidP="007D0A43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CCF" w:rsidRPr="00EB54D0" w:rsidRDefault="00536CCF" w:rsidP="007D0A43">
      <w:pPr>
        <w:ind w:left="-709"/>
        <w:rPr>
          <w:rFonts w:ascii="Times New Roman" w:hAnsi="Times New Roman" w:cs="Times New Roman"/>
          <w:sz w:val="26"/>
          <w:szCs w:val="26"/>
        </w:rPr>
      </w:pPr>
    </w:p>
    <w:sectPr w:rsidR="00536CCF" w:rsidRPr="00EB54D0" w:rsidSect="00DD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7BE"/>
    <w:multiLevelType w:val="hybridMultilevel"/>
    <w:tmpl w:val="F106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4386"/>
    <w:multiLevelType w:val="hybridMultilevel"/>
    <w:tmpl w:val="8402E99C"/>
    <w:lvl w:ilvl="0" w:tplc="20FCC1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F00"/>
    <w:rsid w:val="000412FC"/>
    <w:rsid w:val="000E12F4"/>
    <w:rsid w:val="001255A8"/>
    <w:rsid w:val="00183BDE"/>
    <w:rsid w:val="00184111"/>
    <w:rsid w:val="001C2557"/>
    <w:rsid w:val="001D4C5A"/>
    <w:rsid w:val="00285420"/>
    <w:rsid w:val="002F1D65"/>
    <w:rsid w:val="0037194B"/>
    <w:rsid w:val="003F350C"/>
    <w:rsid w:val="003F3F00"/>
    <w:rsid w:val="004B25CB"/>
    <w:rsid w:val="004C31AA"/>
    <w:rsid w:val="004D7175"/>
    <w:rsid w:val="00502C4B"/>
    <w:rsid w:val="00536CCF"/>
    <w:rsid w:val="005E0FD8"/>
    <w:rsid w:val="005E1819"/>
    <w:rsid w:val="0066726F"/>
    <w:rsid w:val="00672B50"/>
    <w:rsid w:val="006F0EA8"/>
    <w:rsid w:val="007515DE"/>
    <w:rsid w:val="00797663"/>
    <w:rsid w:val="007D0A43"/>
    <w:rsid w:val="007D0C17"/>
    <w:rsid w:val="007F3828"/>
    <w:rsid w:val="0082027F"/>
    <w:rsid w:val="00852320"/>
    <w:rsid w:val="008709A5"/>
    <w:rsid w:val="00880A29"/>
    <w:rsid w:val="00886910"/>
    <w:rsid w:val="008E2AA0"/>
    <w:rsid w:val="008E6C75"/>
    <w:rsid w:val="00932156"/>
    <w:rsid w:val="00954BAC"/>
    <w:rsid w:val="009647B3"/>
    <w:rsid w:val="009C252B"/>
    <w:rsid w:val="00A12653"/>
    <w:rsid w:val="00A246C9"/>
    <w:rsid w:val="00A355C0"/>
    <w:rsid w:val="00A92DFA"/>
    <w:rsid w:val="00B6493B"/>
    <w:rsid w:val="00B66E94"/>
    <w:rsid w:val="00BE64B1"/>
    <w:rsid w:val="00C320C9"/>
    <w:rsid w:val="00C54229"/>
    <w:rsid w:val="00CA79BF"/>
    <w:rsid w:val="00CC0FF8"/>
    <w:rsid w:val="00CE12E2"/>
    <w:rsid w:val="00D74010"/>
    <w:rsid w:val="00DD34B7"/>
    <w:rsid w:val="00E36727"/>
    <w:rsid w:val="00EB54D0"/>
    <w:rsid w:val="00ED7310"/>
    <w:rsid w:val="00F22C82"/>
    <w:rsid w:val="00FC76F3"/>
    <w:rsid w:val="00FE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7"/>
  </w:style>
  <w:style w:type="paragraph" w:styleId="1">
    <w:name w:val="heading 1"/>
    <w:basedOn w:val="a"/>
    <w:link w:val="10"/>
    <w:uiPriority w:val="9"/>
    <w:qFormat/>
    <w:rsid w:val="00932156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932156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156"/>
    <w:pPr>
      <w:spacing w:before="100" w:beforeAutospacing="1" w:after="180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56"/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156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56"/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932156"/>
    <w:rPr>
      <w:strike w:val="0"/>
      <w:dstrike w:val="0"/>
      <w:color w:val="2DB2EB"/>
      <w:u w:val="none"/>
      <w:effect w:val="none"/>
    </w:rPr>
  </w:style>
  <w:style w:type="character" w:customStyle="1" w:styleId="thetime1">
    <w:name w:val="thetime1"/>
    <w:basedOn w:val="a0"/>
    <w:rsid w:val="00932156"/>
    <w:rPr>
      <w:sz w:val="18"/>
      <w:szCs w:val="18"/>
    </w:rPr>
  </w:style>
  <w:style w:type="character" w:customStyle="1" w:styleId="thecategory2">
    <w:name w:val="thecategory2"/>
    <w:basedOn w:val="a0"/>
    <w:rsid w:val="00932156"/>
  </w:style>
  <w:style w:type="paragraph" w:customStyle="1" w:styleId="ConsPlusNormal">
    <w:name w:val="ConsPlusNormal"/>
    <w:rsid w:val="00C54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5422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4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7F38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86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156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932156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156"/>
    <w:pPr>
      <w:spacing w:before="100" w:beforeAutospacing="1" w:after="180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56"/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156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56"/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932156"/>
    <w:rPr>
      <w:strike w:val="0"/>
      <w:dstrike w:val="0"/>
      <w:color w:val="2DB2EB"/>
      <w:u w:val="none"/>
      <w:effect w:val="none"/>
    </w:rPr>
  </w:style>
  <w:style w:type="character" w:customStyle="1" w:styleId="thetime1">
    <w:name w:val="thetime1"/>
    <w:basedOn w:val="a0"/>
    <w:rsid w:val="00932156"/>
    <w:rPr>
      <w:sz w:val="18"/>
      <w:szCs w:val="18"/>
    </w:rPr>
  </w:style>
  <w:style w:type="character" w:customStyle="1" w:styleId="thecategory2">
    <w:name w:val="thecategory2"/>
    <w:basedOn w:val="a0"/>
    <w:rsid w:val="0093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8308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5594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2C2C2"/>
                                    <w:left w:val="none" w:sz="0" w:space="0" w:color="auto"/>
                                    <w:bottom w:val="single" w:sz="6" w:space="2" w:color="C2C2C2"/>
                                    <w:right w:val="none" w:sz="0" w:space="0" w:color="auto"/>
                                  </w:divBdr>
                                </w:div>
                                <w:div w:id="5552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8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3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8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4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3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6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05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7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25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8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37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2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9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8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</cp:lastModifiedBy>
  <cp:revision>30</cp:revision>
  <cp:lastPrinted>2016-07-13T07:17:00Z</cp:lastPrinted>
  <dcterms:created xsi:type="dcterms:W3CDTF">2016-06-30T14:27:00Z</dcterms:created>
  <dcterms:modified xsi:type="dcterms:W3CDTF">2018-03-27T11:40:00Z</dcterms:modified>
</cp:coreProperties>
</file>